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AA" w:rsidRPr="00045164" w:rsidRDefault="008136AA" w:rsidP="008A352A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ПОРЯДКА И УСЛОВИЙ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ОСУЩЕСТВЛЕНИЯ ПЕРЕВОДА ОБУЧАЮЩИХСЯ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ИЗ ОДНОЙ ОРГАНИЗАЦИИ, ОСУЩЕСТВЛЯЮЩЕЙ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ОБРАЗОВАТЕЛЬНУЮ ДЕЯТЕЛЬНОСТЬ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ПО ОБРАЗОВАТЕЛЬНЫМ ПРОГРАММАМ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НАЧАЛЬНОГО ОБЩЕГО, ОСНОВНОГО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ОБЩЕГО И СРЕДНЕГО ОБЩЕГО ОБРАЗОВАНИЯ,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В ДРУГИЕ ОРГАНИЗАЦИИ,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ОСУЩЕСТВЛЯЮЩИЕ ОБРАЗОВАТЕЛЬНУЮ ДЕЯТЕЛЬНОСТЬ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ПО ОБРАЗОВАТЕЛЬНЫМ ПРОГРАММАМ СООТВЕТСТВУЮЩИХ</w:t>
      </w:r>
      <w:r w:rsidRPr="00045164">
        <w:rPr>
          <w:rFonts w:ascii="Times New Roman" w:hAnsi="Times New Roman"/>
          <w:b/>
          <w:bCs/>
          <w:sz w:val="28"/>
          <w:szCs w:val="28"/>
          <w:lang w:eastAsia="ru-RU"/>
        </w:rPr>
        <w:br/>
        <w:t>УРОВНЯ И НАПРАВЛЕННОСТИ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A352A">
        <w:rPr>
          <w:rFonts w:ascii="Times New Roman" w:hAnsi="Times New Roman"/>
          <w:b/>
          <w:bCs/>
          <w:sz w:val="27"/>
          <w:szCs w:val="27"/>
          <w:lang w:eastAsia="ru-RU"/>
        </w:rPr>
        <w:t>Приказ Министерства образования и науки Российской Федерации</w:t>
      </w:r>
      <w:r w:rsidRPr="008A352A">
        <w:rPr>
          <w:rFonts w:ascii="Times New Roman" w:hAnsi="Times New Roman"/>
          <w:b/>
          <w:bCs/>
          <w:sz w:val="27"/>
          <w:szCs w:val="27"/>
          <w:lang w:eastAsia="ru-RU"/>
        </w:rPr>
        <w:br/>
        <w:t>от 12 марта 2014 г. № 177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A352A">
        <w:rPr>
          <w:rFonts w:ascii="Times New Roman" w:hAnsi="Times New Roman"/>
          <w:b/>
          <w:bCs/>
          <w:sz w:val="27"/>
          <w:szCs w:val="27"/>
          <w:lang w:eastAsia="ru-RU"/>
        </w:rPr>
        <w:t>Зарегистрировано Министерством юстиции Российской Федерации</w:t>
      </w:r>
      <w:r w:rsidRPr="008A352A">
        <w:rPr>
          <w:rFonts w:ascii="Times New Roman" w:hAnsi="Times New Roman"/>
          <w:b/>
          <w:bCs/>
          <w:sz w:val="27"/>
          <w:szCs w:val="27"/>
          <w:lang w:eastAsia="ru-RU"/>
        </w:rPr>
        <w:br/>
        <w:t>8 мая 2014 г. Регистрационный № 32215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w:anchor="st34_1_15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352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пунктом 15 части 1</w:t>
        </w:r>
      </w:hyperlink>
      <w:r w:rsidRPr="008A352A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st34_9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A352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частью 9 статьи 34</w:t>
        </w:r>
      </w:hyperlink>
      <w:r w:rsidRPr="008A352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566), </w:t>
      </w:r>
      <w:hyperlink w:anchor="p5.2.19" w:history="1">
        <w:r w:rsidRPr="008A352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подпунктами 5.2.19 - 5.2.21</w:t>
        </w:r>
      </w:hyperlink>
      <w:r w:rsidRPr="008A352A">
        <w:rPr>
          <w:rFonts w:ascii="Times New Roman" w:hAnsi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Министр</w:t>
      </w:r>
      <w:r w:rsidRPr="008A352A">
        <w:rPr>
          <w:rFonts w:ascii="Times New Roman" w:hAnsi="Times New Roman"/>
          <w:sz w:val="24"/>
          <w:szCs w:val="24"/>
          <w:lang w:eastAsia="ru-RU"/>
        </w:rPr>
        <w:br/>
        <w:t>Д.В.ЛИВАНОВ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 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Утверждены</w:t>
      </w:r>
      <w:r w:rsidRPr="008A352A">
        <w:rPr>
          <w:rFonts w:ascii="Times New Roman" w:hAnsi="Times New Roman"/>
          <w:sz w:val="24"/>
          <w:szCs w:val="24"/>
          <w:lang w:eastAsia="ru-RU"/>
        </w:rPr>
        <w:br/>
        <w:t>приказом Министерства образования</w:t>
      </w:r>
      <w:r w:rsidRPr="008A352A">
        <w:rPr>
          <w:rFonts w:ascii="Times New Roman" w:hAnsi="Times New Roman"/>
          <w:sz w:val="24"/>
          <w:szCs w:val="24"/>
          <w:lang w:eastAsia="ru-RU"/>
        </w:rPr>
        <w:br/>
        <w:t>и науки Российской Федерации</w:t>
      </w:r>
      <w:r w:rsidRPr="008A352A">
        <w:rPr>
          <w:rFonts w:ascii="Times New Roman" w:hAnsi="Times New Roman"/>
          <w:sz w:val="24"/>
          <w:szCs w:val="24"/>
          <w:lang w:eastAsia="ru-RU"/>
        </w:rPr>
        <w:br/>
        <w:t>от 12 марта 2014 г. № 177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t>ПОРЯДОК И УСЛОВИЯ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ОСУЩЕСТВЛЕНИЯ ПЕРЕВОДА ОБУЧАЮЩИХСЯ ИЗ ОДНОЙ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ОРГАНИЗАЦИИ, ОСУЩЕСТВЛЯЮЩЕЙ ОБРАЗОВАТЕЛЬНУЮ ДЕЯТЕЛЬНОСТЬ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ПО ОБРАЗОВАТЕЛЬНЫМ ПРОГРАММАМ НАЧАЛЬНОГО ОБЩЕГО, ОСНОВНОГО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ОБЩЕГО И СРЕДНЕГО ОБЩЕГО ОБРАЗОВАНИЯ, В ДРУГИЕ ОРГАНИЗАЦИИ,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ОСУЩЕСТВЛЯЮЩИЕ ОБРАЗОВАТЕЛЬНУЮ ДЕЯТЕЛЬНОСТЬ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ПО ОБРАЗОВАТЕЛЬНЫМ ПРОГРАММАМ СООТВЕТСТВУЮЩИХ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УРОВНЯ И НАПРАВЛЕННОСТИ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p1"/>
      <w:bookmarkEnd w:id="0"/>
      <w:r w:rsidRPr="008A352A">
        <w:rPr>
          <w:rFonts w:ascii="Times New Roman" w:hAnsi="Times New Roman"/>
          <w:sz w:val="24"/>
          <w:szCs w:val="24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4. Перевод обучающихся не зависит от периода (времени) учебного года.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gl2"/>
      <w:bookmarkEnd w:id="1"/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t>II. Перевод совершеннолетнего обучающегося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по его инициативе или несовершеннолетнего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обучающегося по инициативе его родителей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(законных представителей)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2" w:name="p5"/>
      <w:bookmarkStart w:id="3" w:name="gl2_p5"/>
      <w:bookmarkEnd w:id="2"/>
      <w:bookmarkEnd w:id="3"/>
      <w:r w:rsidRPr="008A352A">
        <w:rPr>
          <w:rFonts w:ascii="Times New Roman" w:hAnsi="Times New Roman"/>
          <w:sz w:val="24"/>
          <w:szCs w:val="24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4" w:name="gl2_p6"/>
      <w:bookmarkEnd w:id="4"/>
      <w:r w:rsidRPr="008A352A">
        <w:rPr>
          <w:rFonts w:ascii="Times New Roman" w:hAnsi="Times New Roman"/>
          <w:sz w:val="24"/>
          <w:szCs w:val="24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б) дата рождения;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в) класс и профиль обучения (при наличии);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5" w:name="p7"/>
      <w:bookmarkEnd w:id="5"/>
      <w:r w:rsidRPr="008A352A">
        <w:rPr>
          <w:rFonts w:ascii="Times New Roman" w:hAnsi="Times New Roman"/>
          <w:sz w:val="24"/>
          <w:szCs w:val="24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6" w:name="p8"/>
      <w:bookmarkStart w:id="7" w:name="gl2_p8"/>
      <w:bookmarkEnd w:id="6"/>
      <w:bookmarkEnd w:id="7"/>
      <w:r w:rsidRPr="008A352A">
        <w:rPr>
          <w:rFonts w:ascii="Times New Roman" w:hAnsi="Times New Roman"/>
          <w:sz w:val="24"/>
          <w:szCs w:val="24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личное дело обучающегося;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8" w:name="gl2_p10"/>
      <w:bookmarkEnd w:id="8"/>
      <w:r w:rsidRPr="008A352A">
        <w:rPr>
          <w:rFonts w:ascii="Times New Roman" w:hAnsi="Times New Roman"/>
          <w:sz w:val="24"/>
          <w:szCs w:val="24"/>
          <w:lang w:eastAsia="ru-RU"/>
        </w:rPr>
        <w:t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 пункте 8 настоящего Порядка, с указанием даты зачисления и класса.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9" w:name="p12"/>
      <w:bookmarkStart w:id="10" w:name="gl2_p12"/>
      <w:bookmarkEnd w:id="9"/>
      <w:bookmarkEnd w:id="10"/>
      <w:r w:rsidRPr="008A352A">
        <w:rPr>
          <w:rFonts w:ascii="Times New Roman" w:hAnsi="Times New Roman"/>
          <w:sz w:val="24"/>
          <w:szCs w:val="24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t>III. Перевод обучающегося в случае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прекращения деятельности исходной организации,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аннулирования лицензии, лишения ее государственной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аккредитации по соответствующей образовательной программе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или истечения срока действия государственной аккредитации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по соответствующей образовательной программе; в случае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приостановления действия лицензии, приостановления действия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государственной аккредитации полностью или в отношении</w:t>
      </w:r>
      <w:r w:rsidRPr="008A352A">
        <w:rPr>
          <w:rFonts w:ascii="Times New Roman" w:hAnsi="Times New Roman"/>
          <w:b/>
          <w:bCs/>
          <w:sz w:val="24"/>
          <w:szCs w:val="24"/>
          <w:lang w:eastAsia="ru-RU"/>
        </w:rPr>
        <w:br/>
        <w:t>отдельных уровней образования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15. Учредитель, за исключением случая, указанного в пункте 13 настоящего Порядка, осуществляет выбор принимающих организаций с использованием: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352A">
        <w:rPr>
          <w:rFonts w:ascii="Times New Roman" w:hAnsi="Times New Roman"/>
          <w:sz w:val="24"/>
          <w:szCs w:val="24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8136AA" w:rsidRPr="008A352A" w:rsidRDefault="008136AA" w:rsidP="008A3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11" w:name="p22"/>
      <w:bookmarkEnd w:id="11"/>
      <w:r w:rsidRPr="008A352A">
        <w:rPr>
          <w:rFonts w:ascii="Times New Roman" w:hAnsi="Times New Roman"/>
          <w:sz w:val="24"/>
          <w:szCs w:val="24"/>
          <w:lang w:eastAsia="ru-RU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8136AA" w:rsidRDefault="008136AA">
      <w:bookmarkStart w:id="12" w:name="_GoBack"/>
      <w:bookmarkEnd w:id="12"/>
    </w:p>
    <w:sectPr w:rsidR="008136AA" w:rsidSect="00A3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52A"/>
    <w:rsid w:val="00045164"/>
    <w:rsid w:val="002A4FDF"/>
    <w:rsid w:val="005A6FB3"/>
    <w:rsid w:val="007A62D3"/>
    <w:rsid w:val="008136AA"/>
    <w:rsid w:val="008A352A"/>
    <w:rsid w:val="00A34184"/>
    <w:rsid w:val="00AC6EF9"/>
    <w:rsid w:val="00B36358"/>
    <w:rsid w:val="00C2782A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2439</Words>
  <Characters>13906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COMP</cp:lastModifiedBy>
  <cp:revision>2</cp:revision>
  <cp:lastPrinted>2014-09-25T12:07:00Z</cp:lastPrinted>
  <dcterms:created xsi:type="dcterms:W3CDTF">2015-03-24T20:20:00Z</dcterms:created>
  <dcterms:modified xsi:type="dcterms:W3CDTF">2014-09-25T12:25:00Z</dcterms:modified>
</cp:coreProperties>
</file>